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28CE" w14:textId="6B5A5E96" w:rsidR="00643197" w:rsidRDefault="006A2D5E" w:rsidP="00643197">
      <w:pPr>
        <w:pStyle w:val="Titel"/>
        <w:spacing w:before="0" w:after="0"/>
        <w:jc w:val="left"/>
      </w:pPr>
      <w:r>
        <w:t>Wichtige Voten und Beschlüsse Vorstandssitzungen ab</w:t>
      </w:r>
      <w:r w:rsidR="00643197">
        <w:t xml:space="preserve"> </w:t>
      </w:r>
      <w:r>
        <w:t xml:space="preserve">Mai 2015 </w:t>
      </w:r>
    </w:p>
    <w:p w14:paraId="4B01A321" w14:textId="405AD093" w:rsidR="008774C4" w:rsidRPr="00D011CD" w:rsidRDefault="008774C4" w:rsidP="006A2D5E">
      <w:pPr>
        <w:pStyle w:val="Titel"/>
        <w:pBdr>
          <w:bottom w:val="single" w:sz="12" w:space="1" w:color="auto"/>
        </w:pBdr>
        <w:spacing w:before="0" w:after="0"/>
        <w:jc w:val="left"/>
        <w:rPr>
          <w:sz w:val="22"/>
        </w:rPr>
      </w:pPr>
      <w:bookmarkStart w:id="0" w:name="_Toc391804244"/>
    </w:p>
    <w:p w14:paraId="18DC181C" w14:textId="0887C338" w:rsidR="00B857FF" w:rsidRDefault="00B857FF" w:rsidP="006A2D5E">
      <w:pPr>
        <w:pStyle w:val="Titel"/>
        <w:spacing w:before="0" w:after="0"/>
        <w:jc w:val="left"/>
        <w:rPr>
          <w:rFonts w:asciiTheme="minorHAnsi" w:hAnsiTheme="minorHAnsi"/>
          <w:b w:val="0"/>
          <w:sz w:val="22"/>
        </w:rPr>
      </w:pPr>
    </w:p>
    <w:p w14:paraId="5B58F99C" w14:textId="77777777" w:rsidR="00E371A7" w:rsidRPr="006A2D5E" w:rsidRDefault="00E371A7" w:rsidP="006A2D5E">
      <w:pPr>
        <w:pStyle w:val="Titel"/>
        <w:spacing w:before="0" w:after="0"/>
        <w:jc w:val="left"/>
        <w:rPr>
          <w:rFonts w:asciiTheme="minorHAnsi" w:hAnsiTheme="minorHAnsi"/>
          <w:b w:val="0"/>
          <w:sz w:val="22"/>
        </w:rPr>
      </w:pPr>
    </w:p>
    <w:bookmarkEnd w:id="0"/>
    <w:p w14:paraId="226416FB" w14:textId="5703F171" w:rsidR="00E01C15" w:rsidRDefault="00E01C15" w:rsidP="006A2D5E">
      <w:pPr>
        <w:tabs>
          <w:tab w:val="left" w:pos="1276"/>
        </w:tabs>
        <w:rPr>
          <w:rFonts w:asciiTheme="minorHAnsi" w:hAnsiTheme="minorHAnsi" w:cs="Times New Roman"/>
        </w:rPr>
      </w:pPr>
    </w:p>
    <w:p w14:paraId="4D524EEC" w14:textId="77777777" w:rsidR="005274B4" w:rsidRDefault="005274B4" w:rsidP="006A2D5E">
      <w:pPr>
        <w:tabs>
          <w:tab w:val="left" w:pos="1276"/>
        </w:tabs>
        <w:rPr>
          <w:rFonts w:asciiTheme="minorHAnsi" w:hAnsiTheme="minorHAnsi" w:cs="Times New Roman"/>
        </w:rPr>
      </w:pPr>
    </w:p>
    <w:p w14:paraId="23E5B67D" w14:textId="5B234B6E" w:rsidR="00402307" w:rsidRPr="00402307" w:rsidRDefault="00402307" w:rsidP="006A2D5E">
      <w:pPr>
        <w:tabs>
          <w:tab w:val="left" w:pos="1276"/>
        </w:tabs>
        <w:rPr>
          <w:rFonts w:asciiTheme="minorHAnsi" w:hAnsiTheme="minorHAnsi" w:cs="Times New Roman"/>
          <w:b/>
          <w:i/>
          <w:color w:val="76923C" w:themeColor="accent3" w:themeShade="BF"/>
          <w:sz w:val="32"/>
          <w:szCs w:val="32"/>
          <w:u w:val="single"/>
        </w:rPr>
      </w:pPr>
      <w:r w:rsidRPr="00402307">
        <w:rPr>
          <w:rFonts w:asciiTheme="minorHAnsi" w:hAnsiTheme="minorHAnsi" w:cs="Times New Roman"/>
          <w:b/>
          <w:i/>
          <w:color w:val="76923C" w:themeColor="accent3" w:themeShade="BF"/>
          <w:sz w:val="32"/>
          <w:szCs w:val="32"/>
          <w:u w:val="single"/>
        </w:rPr>
        <w:t>2015</w:t>
      </w:r>
    </w:p>
    <w:p w14:paraId="59F92AC5" w14:textId="5057BF74" w:rsidR="006A2D5E" w:rsidRDefault="006A2D5E" w:rsidP="006A2D5E">
      <w:pPr>
        <w:tabs>
          <w:tab w:val="left" w:pos="1276"/>
        </w:tabs>
        <w:rPr>
          <w:rFonts w:asciiTheme="minorHAnsi" w:hAnsiTheme="minorHAnsi" w:cs="Times New Roman"/>
        </w:rPr>
      </w:pPr>
    </w:p>
    <w:p w14:paraId="5158AB58" w14:textId="77777777" w:rsidR="00A2326A" w:rsidRPr="006A2D5E" w:rsidRDefault="00A2326A" w:rsidP="006A2D5E">
      <w:pPr>
        <w:tabs>
          <w:tab w:val="left" w:pos="1276"/>
        </w:tabs>
        <w:rPr>
          <w:rFonts w:asciiTheme="minorHAnsi" w:hAnsiTheme="minorHAnsi" w:cs="Times New Roman"/>
        </w:rPr>
      </w:pPr>
    </w:p>
    <w:p w14:paraId="46EAA4DA" w14:textId="2B3CEC7E" w:rsidR="006A2D5E" w:rsidRPr="00E371A7" w:rsidRDefault="006A2D5E" w:rsidP="00E371A7">
      <w:pPr>
        <w:tabs>
          <w:tab w:val="left" w:pos="1276"/>
        </w:tabs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E371A7">
        <w:rPr>
          <w:rFonts w:asciiTheme="minorHAnsi" w:hAnsiTheme="minorHAnsi" w:cs="Times New Roman"/>
          <w:b/>
          <w:sz w:val="24"/>
          <w:szCs w:val="24"/>
          <w:u w:val="single"/>
        </w:rPr>
        <w:t>Protokoll 6. Mai 2015</w:t>
      </w:r>
    </w:p>
    <w:p w14:paraId="5161AD29" w14:textId="77777777" w:rsidR="006A2D5E" w:rsidRDefault="006A2D5E" w:rsidP="006A2D5E">
      <w:pPr>
        <w:tabs>
          <w:tab w:val="left" w:pos="1276"/>
        </w:tabs>
        <w:rPr>
          <w:rFonts w:asciiTheme="minorHAnsi" w:hAnsiTheme="minorHAnsi" w:cs="Times New Roman"/>
        </w:rPr>
      </w:pPr>
    </w:p>
    <w:p w14:paraId="2CB69738" w14:textId="73D3FCC8" w:rsidR="006A2D5E" w:rsidRDefault="006A2D5E" w:rsidP="00F47724">
      <w:pPr>
        <w:pStyle w:val="Listenabsatz"/>
        <w:numPr>
          <w:ilvl w:val="0"/>
          <w:numId w:val="2"/>
        </w:numPr>
      </w:pPr>
      <w:r w:rsidRPr="006A2D5E">
        <w:t xml:space="preserve">In Zukunft soll die </w:t>
      </w:r>
      <w:r w:rsidRPr="00573B15">
        <w:rPr>
          <w:highlight w:val="yellow"/>
        </w:rPr>
        <w:t>Programmierung der Datenbank auswärts</w:t>
      </w:r>
      <w:r w:rsidRPr="006A2D5E">
        <w:t xml:space="preserve"> erfolgen, die Betreuung und </w:t>
      </w:r>
      <w:r w:rsidRPr="00573B15">
        <w:rPr>
          <w:highlight w:val="yellow"/>
        </w:rPr>
        <w:t>Bewirtschaftung der Homepage</w:t>
      </w:r>
      <w:r w:rsidRPr="006A2D5E">
        <w:t xml:space="preserve"> ist Aufgabe von </w:t>
      </w:r>
      <w:proofErr w:type="spellStart"/>
      <w:r w:rsidRPr="00573B15">
        <w:rPr>
          <w:highlight w:val="yellow"/>
        </w:rPr>
        <w:t>RFu</w:t>
      </w:r>
      <w:proofErr w:type="spellEnd"/>
      <w:r w:rsidRPr="006A2D5E">
        <w:t xml:space="preserve"> (als Webmaster).</w:t>
      </w:r>
    </w:p>
    <w:p w14:paraId="60C3948A" w14:textId="15ED3D59" w:rsidR="006A2D5E" w:rsidRDefault="006A2D5E" w:rsidP="00F47724">
      <w:pPr>
        <w:pStyle w:val="Listenabsatz"/>
        <w:numPr>
          <w:ilvl w:val="0"/>
          <w:numId w:val="2"/>
        </w:numPr>
      </w:pPr>
      <w:r>
        <w:t xml:space="preserve">Für 2016 wurden bei den Seminaren mit der </w:t>
      </w:r>
      <w:r w:rsidRPr="00573B15">
        <w:rPr>
          <w:highlight w:val="yellow"/>
        </w:rPr>
        <w:t>Obergrenze 20 Paare mit 17 Paaren</w:t>
      </w:r>
      <w:r>
        <w:t xml:space="preserve"> budgetiert, bei den </w:t>
      </w:r>
      <w:r w:rsidRPr="00573B15">
        <w:rPr>
          <w:highlight w:val="yellow"/>
        </w:rPr>
        <w:t>Seminare</w:t>
      </w:r>
      <w:r>
        <w:t xml:space="preserve">n mit </w:t>
      </w:r>
      <w:r w:rsidRPr="00573B15">
        <w:rPr>
          <w:highlight w:val="yellow"/>
        </w:rPr>
        <w:t>Obergrenze 15 mit 12 Teilnehmer-Paaren</w:t>
      </w:r>
      <w:r>
        <w:t xml:space="preserve">. Auf den AGB soll die Mindest-Teilnehmerzahl definiert werden und nötigenfalls müssen Um-Platzierungen ins Auge gefasst werden.  </w:t>
      </w:r>
    </w:p>
    <w:p w14:paraId="1C34F844" w14:textId="77777777" w:rsidR="00AD2B6E" w:rsidRDefault="006A2D5E" w:rsidP="00F47724">
      <w:pPr>
        <w:pStyle w:val="Listenabsatz"/>
        <w:numPr>
          <w:ilvl w:val="0"/>
          <w:numId w:val="2"/>
        </w:numPr>
      </w:pPr>
      <w:proofErr w:type="spellStart"/>
      <w:r w:rsidRPr="00573B15">
        <w:rPr>
          <w:b/>
          <w:highlight w:val="yellow"/>
        </w:rPr>
        <w:t>TMü</w:t>
      </w:r>
      <w:proofErr w:type="spellEnd"/>
      <w:r>
        <w:t xml:space="preserve"> hat erstmals das </w:t>
      </w:r>
      <w:r w:rsidRPr="00573B15">
        <w:rPr>
          <w:highlight w:val="yellow"/>
        </w:rPr>
        <w:t>Budget 2015</w:t>
      </w:r>
      <w:r>
        <w:t xml:space="preserve"> aufgestellt und wird diese </w:t>
      </w:r>
      <w:r w:rsidRPr="00573B15">
        <w:rPr>
          <w:highlight w:val="yellow"/>
        </w:rPr>
        <w:t>Aufgabe weiterhin</w:t>
      </w:r>
      <w:r>
        <w:t xml:space="preserve"> wahrnehmen. </w:t>
      </w:r>
    </w:p>
    <w:p w14:paraId="459F99E1" w14:textId="37250D1E" w:rsidR="006A2D5E" w:rsidRDefault="006A2D5E" w:rsidP="00F47724">
      <w:pPr>
        <w:pStyle w:val="Listenabsatz"/>
        <w:numPr>
          <w:ilvl w:val="0"/>
          <w:numId w:val="2"/>
        </w:numPr>
      </w:pPr>
      <w:r>
        <w:t xml:space="preserve">Das Einfüllen in die </w:t>
      </w:r>
      <w:r w:rsidRPr="00573B15">
        <w:rPr>
          <w:highlight w:val="yellow"/>
        </w:rPr>
        <w:t>Buchhaltungskonten</w:t>
      </w:r>
      <w:r>
        <w:t xml:space="preserve"> wird durch </w:t>
      </w:r>
      <w:proofErr w:type="spellStart"/>
      <w:r w:rsidRPr="00573B15">
        <w:rPr>
          <w:b/>
          <w:highlight w:val="yellow"/>
        </w:rPr>
        <w:t>RFu</w:t>
      </w:r>
      <w:proofErr w:type="spellEnd"/>
      <w:r>
        <w:t xml:space="preserve"> erfolgen.</w:t>
      </w:r>
      <w:r w:rsidR="00AD2B6E" w:rsidRPr="00AD2B6E">
        <w:t xml:space="preserve"> </w:t>
      </w:r>
    </w:p>
    <w:p w14:paraId="2051A2F6" w14:textId="221AF85C" w:rsidR="00AD2B6E" w:rsidRDefault="00AD2B6E" w:rsidP="00AD2B6E"/>
    <w:p w14:paraId="7FB6987E" w14:textId="77777777" w:rsidR="00A2326A" w:rsidRDefault="00A2326A" w:rsidP="00AD2B6E"/>
    <w:p w14:paraId="5F31793C" w14:textId="1EA5BAAE" w:rsidR="00AD2B6E" w:rsidRPr="00E371A7" w:rsidRDefault="00AD2B6E" w:rsidP="00E371A7">
      <w:pPr>
        <w:rPr>
          <w:b/>
          <w:sz w:val="24"/>
          <w:szCs w:val="24"/>
          <w:u w:val="single"/>
        </w:rPr>
      </w:pPr>
      <w:r w:rsidRPr="00E371A7">
        <w:rPr>
          <w:b/>
          <w:sz w:val="24"/>
          <w:szCs w:val="24"/>
          <w:u w:val="single"/>
        </w:rPr>
        <w:t>Protokoll 9. September 2015</w:t>
      </w:r>
    </w:p>
    <w:p w14:paraId="6C510FBE" w14:textId="77777777" w:rsidR="00AD2B6E" w:rsidRDefault="00AD2B6E" w:rsidP="00AD2B6E"/>
    <w:p w14:paraId="05494B88" w14:textId="127E49E0" w:rsidR="00AD2B6E" w:rsidRPr="00973964" w:rsidRDefault="00AD2B6E" w:rsidP="00AD2B6E">
      <w:pPr>
        <w:rPr>
          <w:b/>
          <w:u w:val="single"/>
        </w:rPr>
      </w:pPr>
      <w:r w:rsidRPr="00973964">
        <w:rPr>
          <w:b/>
          <w:u w:val="single"/>
        </w:rPr>
        <w:t>Beschlüsse</w:t>
      </w:r>
      <w:r>
        <w:rPr>
          <w:b/>
          <w:u w:val="single"/>
        </w:rPr>
        <w:t xml:space="preserve"> Traktandum Website Support</w:t>
      </w:r>
      <w:r w:rsidRPr="00973964">
        <w:rPr>
          <w:b/>
          <w:u w:val="single"/>
        </w:rPr>
        <w:t>:</w:t>
      </w:r>
    </w:p>
    <w:p w14:paraId="6939ED8B" w14:textId="69E364EA" w:rsidR="00AD2B6E" w:rsidRPr="00AD2B6E" w:rsidRDefault="00AD2B6E" w:rsidP="00F47724">
      <w:pPr>
        <w:pStyle w:val="Listenabsatz"/>
        <w:numPr>
          <w:ilvl w:val="0"/>
          <w:numId w:val="3"/>
        </w:numPr>
      </w:pPr>
      <w:r w:rsidRPr="00AD2B6E">
        <w:t xml:space="preserve">Den </w:t>
      </w:r>
      <w:r w:rsidRPr="00573B15">
        <w:rPr>
          <w:highlight w:val="yellow"/>
        </w:rPr>
        <w:t>Kursleitungen</w:t>
      </w:r>
      <w:r w:rsidRPr="00AD2B6E">
        <w:t xml:space="preserve"> wird für die Kurse im 2016 eine </w:t>
      </w:r>
      <w:proofErr w:type="spellStart"/>
      <w:r w:rsidRPr="00573B15">
        <w:rPr>
          <w:highlight w:val="yellow"/>
        </w:rPr>
        <w:t>Exel</w:t>
      </w:r>
      <w:proofErr w:type="spellEnd"/>
      <w:r w:rsidRPr="00573B15">
        <w:rPr>
          <w:highlight w:val="yellow"/>
        </w:rPr>
        <w:t>-Tabelle</w:t>
      </w:r>
      <w:r w:rsidRPr="00AD2B6E">
        <w:t xml:space="preserve"> zur Verfügung gestellt, worin sie ihre </w:t>
      </w:r>
      <w:r w:rsidRPr="00573B15">
        <w:rPr>
          <w:highlight w:val="yellow"/>
        </w:rPr>
        <w:t>Abrechnung</w:t>
      </w:r>
      <w:r w:rsidRPr="00AD2B6E">
        <w:t xml:space="preserve"> erstellen, diese ausdrucken und mit den entsprechenden Belegen an </w:t>
      </w:r>
      <w:proofErr w:type="spellStart"/>
      <w:r w:rsidRPr="00AD2B6E">
        <w:t>MGo</w:t>
      </w:r>
      <w:proofErr w:type="spellEnd"/>
      <w:r w:rsidRPr="00AD2B6E">
        <w:t xml:space="preserve"> zur Bezahlung zustellen können. Dazu soll den </w:t>
      </w:r>
      <w:r w:rsidRPr="00573B15">
        <w:rPr>
          <w:highlight w:val="yellow"/>
        </w:rPr>
        <w:t>Kursleitunge</w:t>
      </w:r>
      <w:r w:rsidRPr="00AD2B6E">
        <w:t xml:space="preserve">n ebenfalls ein </w:t>
      </w:r>
      <w:r w:rsidRPr="00573B15">
        <w:rPr>
          <w:highlight w:val="yellow"/>
        </w:rPr>
        <w:t>Blatt</w:t>
      </w:r>
      <w:r w:rsidRPr="00AD2B6E">
        <w:t xml:space="preserve"> für die </w:t>
      </w:r>
      <w:r w:rsidRPr="00573B15">
        <w:rPr>
          <w:highlight w:val="yellow"/>
        </w:rPr>
        <w:t>Referentenhonorare</w:t>
      </w:r>
      <w:r w:rsidRPr="00AD2B6E">
        <w:t xml:space="preserve"> zur Verfügung gestellt werden, damit diese der Abrec</w:t>
      </w:r>
      <w:r>
        <w:t>hnung beigefügt werden können.</w:t>
      </w:r>
    </w:p>
    <w:p w14:paraId="06C5041D" w14:textId="77777777" w:rsidR="00AD2B6E" w:rsidRDefault="00AD2B6E" w:rsidP="00AD2B6E"/>
    <w:p w14:paraId="2BA55CDB" w14:textId="12443F47" w:rsidR="006A2D5E" w:rsidRPr="00AD2B6E" w:rsidRDefault="00AD2B6E" w:rsidP="00AD2B6E">
      <w:pPr>
        <w:tabs>
          <w:tab w:val="left" w:pos="1276"/>
        </w:tabs>
        <w:rPr>
          <w:rFonts w:asciiTheme="minorHAnsi" w:hAnsiTheme="minorHAnsi" w:cs="Times New Roman"/>
          <w:b/>
        </w:rPr>
      </w:pPr>
      <w:r w:rsidRPr="00AD2B6E">
        <w:rPr>
          <w:rFonts w:asciiTheme="minorHAnsi" w:hAnsiTheme="minorHAnsi" w:cs="Times New Roman"/>
          <w:b/>
        </w:rPr>
        <w:t>Weitere Voten/Beschlüsse:</w:t>
      </w:r>
    </w:p>
    <w:p w14:paraId="10478BAB" w14:textId="77777777" w:rsidR="00AD2B6E" w:rsidRPr="00AD2B6E" w:rsidRDefault="00AD2B6E" w:rsidP="00F47724">
      <w:pPr>
        <w:pStyle w:val="Listenabsatz"/>
        <w:numPr>
          <w:ilvl w:val="0"/>
          <w:numId w:val="5"/>
        </w:numPr>
      </w:pPr>
      <w:r w:rsidRPr="00573B15">
        <w:rPr>
          <w:highlight w:val="yellow"/>
        </w:rPr>
        <w:t>Grundsatzentscheid</w:t>
      </w:r>
      <w:r w:rsidRPr="00AD2B6E">
        <w:t xml:space="preserve"> fällen: wollen wir </w:t>
      </w:r>
      <w:r w:rsidRPr="00573B15">
        <w:rPr>
          <w:highlight w:val="yellow"/>
        </w:rPr>
        <w:t>mehr Kurse in unser Programm aufnehm</w:t>
      </w:r>
      <w:r w:rsidRPr="00AD2B6E">
        <w:t>en? (Vorstand)</w:t>
      </w:r>
    </w:p>
    <w:p w14:paraId="65630D24" w14:textId="77777777" w:rsidR="00AD2B6E" w:rsidRPr="00AD2B6E" w:rsidRDefault="00AD2B6E" w:rsidP="00F47724">
      <w:pPr>
        <w:pStyle w:val="Listenabsatz"/>
        <w:numPr>
          <w:ilvl w:val="0"/>
          <w:numId w:val="5"/>
        </w:numPr>
      </w:pPr>
      <w:r w:rsidRPr="00AD2B6E">
        <w:t xml:space="preserve">Im Budget müsste allenfalls eine </w:t>
      </w:r>
      <w:r w:rsidRPr="00573B15">
        <w:rPr>
          <w:highlight w:val="yellow"/>
        </w:rPr>
        <w:t>Rubrik „unterstützte Seminare</w:t>
      </w:r>
      <w:r w:rsidRPr="00AD2B6E">
        <w:t xml:space="preserve">“ geschaffen werden. </w:t>
      </w:r>
    </w:p>
    <w:p w14:paraId="304FB7EA" w14:textId="21A21F6C" w:rsidR="00AD2B6E" w:rsidRPr="00AD2B6E" w:rsidRDefault="00AD2B6E" w:rsidP="00F47724">
      <w:pPr>
        <w:pStyle w:val="Listenabsatz"/>
        <w:numPr>
          <w:ilvl w:val="0"/>
          <w:numId w:val="5"/>
        </w:numPr>
      </w:pPr>
      <w:r w:rsidRPr="00AD2B6E">
        <w:t xml:space="preserve">Bei der </w:t>
      </w:r>
      <w:r w:rsidRPr="00573B15">
        <w:rPr>
          <w:highlight w:val="yellow"/>
        </w:rPr>
        <w:t xml:space="preserve">Konstellation </w:t>
      </w:r>
      <w:r w:rsidR="00573B15" w:rsidRPr="00573B15">
        <w:rPr>
          <w:highlight w:val="yellow"/>
        </w:rPr>
        <w:t>Begleitung</w:t>
      </w:r>
      <w:r w:rsidRPr="00573B15">
        <w:rPr>
          <w:highlight w:val="yellow"/>
        </w:rPr>
        <w:t xml:space="preserve"> = Referent</w:t>
      </w:r>
      <w:r w:rsidRPr="00AD2B6E">
        <w:t xml:space="preserve"> wird das </w:t>
      </w:r>
      <w:r w:rsidRPr="00573B15">
        <w:rPr>
          <w:highlight w:val="yellow"/>
        </w:rPr>
        <w:t>Honorar nur einmal</w:t>
      </w:r>
      <w:r w:rsidRPr="00AD2B6E">
        <w:t xml:space="preserve"> ausbezahlt. In diesem Zusammenhang muss das </w:t>
      </w:r>
      <w:r w:rsidRPr="00573B15">
        <w:rPr>
          <w:highlight w:val="yellow"/>
        </w:rPr>
        <w:t>Honorar- und Spesenreglement</w:t>
      </w:r>
      <w:r w:rsidRPr="00AD2B6E">
        <w:t xml:space="preserve"> überprüft </w:t>
      </w:r>
      <w:r w:rsidR="00573B15">
        <w:t xml:space="preserve">und </w:t>
      </w:r>
      <w:r w:rsidR="00573B15" w:rsidRPr="00573B15">
        <w:rPr>
          <w:highlight w:val="yellow"/>
        </w:rPr>
        <w:t>abgeändert</w:t>
      </w:r>
      <w:r w:rsidR="00573B15">
        <w:t xml:space="preserve"> </w:t>
      </w:r>
      <w:r w:rsidRPr="00AD2B6E">
        <w:t>werden. (Vorstand)</w:t>
      </w:r>
    </w:p>
    <w:p w14:paraId="3AFF2425" w14:textId="77777777" w:rsidR="00AD2B6E" w:rsidRPr="00AD2B6E" w:rsidRDefault="00AD2B6E" w:rsidP="00F47724">
      <w:pPr>
        <w:pStyle w:val="Listenabsatz"/>
        <w:numPr>
          <w:ilvl w:val="0"/>
          <w:numId w:val="5"/>
        </w:numPr>
      </w:pPr>
      <w:r w:rsidRPr="00AD2B6E">
        <w:t xml:space="preserve">Das Formular um </w:t>
      </w:r>
      <w:r w:rsidRPr="00682E3A">
        <w:rPr>
          <w:highlight w:val="yellow"/>
        </w:rPr>
        <w:t>Adressen zu sammeln</w:t>
      </w:r>
      <w:r w:rsidRPr="00AD2B6E">
        <w:t xml:space="preserve"> wird an den Seminartagen </w:t>
      </w:r>
      <w:r w:rsidRPr="00682E3A">
        <w:rPr>
          <w:highlight w:val="yellow"/>
        </w:rPr>
        <w:t>nicht mehr in Umlauf gebracht</w:t>
      </w:r>
      <w:r w:rsidRPr="00AD2B6E">
        <w:t>.</w:t>
      </w:r>
    </w:p>
    <w:p w14:paraId="38E202DD" w14:textId="137930A9" w:rsidR="00AD2B6E" w:rsidRPr="00AD2B6E" w:rsidRDefault="00AD2B6E" w:rsidP="00F47724">
      <w:pPr>
        <w:pStyle w:val="Listenabsatz"/>
        <w:numPr>
          <w:ilvl w:val="0"/>
          <w:numId w:val="5"/>
        </w:numPr>
      </w:pPr>
      <w:r w:rsidRPr="00AD2B6E">
        <w:t xml:space="preserve">Die </w:t>
      </w:r>
      <w:r w:rsidRPr="00682E3A">
        <w:rPr>
          <w:highlight w:val="yellow"/>
        </w:rPr>
        <w:t>AGB</w:t>
      </w:r>
      <w:r w:rsidRPr="00AD2B6E">
        <w:t xml:space="preserve"> müssen mit der </w:t>
      </w:r>
      <w:r w:rsidRPr="00682E3A">
        <w:rPr>
          <w:highlight w:val="yellow"/>
        </w:rPr>
        <w:t>Mindestteilnehmerzahl</w:t>
      </w:r>
      <w:r w:rsidRPr="00AD2B6E">
        <w:t xml:space="preserve"> ergänzt werden. </w:t>
      </w:r>
      <w:proofErr w:type="spellStart"/>
      <w:r w:rsidRPr="00682E3A">
        <w:rPr>
          <w:highlight w:val="yellow"/>
        </w:rPr>
        <w:t>RFu</w:t>
      </w:r>
      <w:proofErr w:type="spellEnd"/>
      <w:r w:rsidRPr="00AD2B6E">
        <w:t xml:space="preserve"> soll in Zukunft die </w:t>
      </w:r>
      <w:r w:rsidRPr="00682E3A">
        <w:rPr>
          <w:highlight w:val="yellow"/>
        </w:rPr>
        <w:t>Anzahl</w:t>
      </w:r>
      <w:r w:rsidRPr="00AD2B6E">
        <w:t xml:space="preserve"> der </w:t>
      </w:r>
      <w:r w:rsidRPr="00682E3A">
        <w:rPr>
          <w:highlight w:val="yellow"/>
        </w:rPr>
        <w:t>Anmeldungen im Auge behalten</w:t>
      </w:r>
      <w:r w:rsidRPr="00AD2B6E">
        <w:t xml:space="preserve"> und je nachdem entsprechend mit dem Leiterpaar Kontakt aufnehmen. In diesem Zusammenhang müssen auch die Budgetzahlen angeschaut werden. Je nachdem, wenn ein durchgeführtes </w:t>
      </w:r>
      <w:r w:rsidRPr="00682E3A">
        <w:rPr>
          <w:highlight w:val="yellow"/>
        </w:rPr>
        <w:t>Seminar „überbucht</w:t>
      </w:r>
      <w:r w:rsidRPr="00AD2B6E">
        <w:t xml:space="preserve">“ war und somit „rentiert“, kann evtl. ein </w:t>
      </w:r>
      <w:r w:rsidRPr="00682E3A">
        <w:rPr>
          <w:highlight w:val="yellow"/>
        </w:rPr>
        <w:t>späteres Seminar</w:t>
      </w:r>
      <w:r w:rsidRPr="00AD2B6E">
        <w:t xml:space="preserve"> auch mit einer </w:t>
      </w:r>
      <w:r w:rsidRPr="00682E3A">
        <w:rPr>
          <w:highlight w:val="yellow"/>
        </w:rPr>
        <w:t>geringeren Anzahl Ehepaaren durchgeführt</w:t>
      </w:r>
      <w:r w:rsidRPr="00AD2B6E">
        <w:t xml:space="preserve"> werden, sofern sich das Budget ausgleicht. </w:t>
      </w:r>
    </w:p>
    <w:p w14:paraId="7F2F5E8B" w14:textId="535112B6" w:rsidR="00AD2B6E" w:rsidRPr="00AD2B6E" w:rsidRDefault="00AD2B6E" w:rsidP="00F47724">
      <w:pPr>
        <w:pStyle w:val="Listenabsatz"/>
        <w:numPr>
          <w:ilvl w:val="0"/>
          <w:numId w:val="5"/>
        </w:numPr>
      </w:pPr>
      <w:r w:rsidRPr="00AD2B6E">
        <w:t xml:space="preserve">Es wird zur </w:t>
      </w:r>
      <w:r w:rsidRPr="00682E3A">
        <w:rPr>
          <w:highlight w:val="yellow"/>
        </w:rPr>
        <w:t>Abrechnung ab 1. Januar 2016</w:t>
      </w:r>
      <w:r w:rsidRPr="00AD2B6E">
        <w:t xml:space="preserve"> eine </w:t>
      </w:r>
      <w:r w:rsidRPr="00682E3A">
        <w:rPr>
          <w:highlight w:val="yellow"/>
        </w:rPr>
        <w:t>Exceltabelle</w:t>
      </w:r>
      <w:r w:rsidRPr="00AD2B6E">
        <w:t xml:space="preserve"> sowie ein </w:t>
      </w:r>
      <w:r w:rsidRPr="00682E3A">
        <w:rPr>
          <w:highlight w:val="yellow"/>
        </w:rPr>
        <w:t>Honorarblatt</w:t>
      </w:r>
      <w:r w:rsidRPr="00AD2B6E">
        <w:t xml:space="preserve"> erstellt und den Leiterpaaren abgegeben. Das Leiterpaar wird die ausgefüllte Tabelle mit </w:t>
      </w:r>
      <w:r w:rsidRPr="00682E3A">
        <w:rPr>
          <w:highlight w:val="yellow"/>
        </w:rPr>
        <w:t>Honorarblättern</w:t>
      </w:r>
      <w:r w:rsidRPr="00AD2B6E">
        <w:t xml:space="preserve"> und </w:t>
      </w:r>
      <w:r w:rsidRPr="00682E3A">
        <w:rPr>
          <w:highlight w:val="yellow"/>
        </w:rPr>
        <w:t xml:space="preserve">Spesenbelegen </w:t>
      </w:r>
      <w:proofErr w:type="spellStart"/>
      <w:r w:rsidRPr="00682E3A">
        <w:rPr>
          <w:highlight w:val="yellow"/>
        </w:rPr>
        <w:t>MGo</w:t>
      </w:r>
      <w:proofErr w:type="spellEnd"/>
      <w:r w:rsidRPr="00AD2B6E">
        <w:t xml:space="preserve"> zur </w:t>
      </w:r>
      <w:r w:rsidRPr="00682E3A">
        <w:rPr>
          <w:highlight w:val="yellow"/>
        </w:rPr>
        <w:t>Auszahlung</w:t>
      </w:r>
      <w:r w:rsidRPr="00AD2B6E">
        <w:t xml:space="preserve"> zusenden. </w:t>
      </w:r>
    </w:p>
    <w:p w14:paraId="467B4BE4" w14:textId="51B23685" w:rsidR="00AD2B6E" w:rsidRDefault="00AD2B6E" w:rsidP="00AD2B6E"/>
    <w:p w14:paraId="3CE26734" w14:textId="72C8863C" w:rsidR="00A2326A" w:rsidRDefault="00A2326A" w:rsidP="00AD2B6E"/>
    <w:p w14:paraId="11D29752" w14:textId="77777777" w:rsidR="005274B4" w:rsidRDefault="005274B4" w:rsidP="00AD2B6E"/>
    <w:p w14:paraId="031B5488" w14:textId="7E600EC2" w:rsidR="00AD2B6E" w:rsidRPr="00E371A7" w:rsidRDefault="00012423" w:rsidP="00E371A7">
      <w:pPr>
        <w:rPr>
          <w:b/>
          <w:sz w:val="24"/>
        </w:rPr>
      </w:pPr>
      <w:bookmarkStart w:id="1" w:name="_GoBack"/>
      <w:bookmarkEnd w:id="1"/>
      <w:r w:rsidRPr="00E371A7">
        <w:rPr>
          <w:b/>
          <w:sz w:val="24"/>
          <w:u w:val="single"/>
        </w:rPr>
        <w:lastRenderedPageBreak/>
        <w:t>Protokoll 22. Oktober 2015</w:t>
      </w:r>
    </w:p>
    <w:p w14:paraId="462334D1" w14:textId="77777777" w:rsidR="00012423" w:rsidRDefault="00012423" w:rsidP="00012423"/>
    <w:p w14:paraId="6017744F" w14:textId="70B167D6" w:rsidR="00012423" w:rsidRPr="00026377" w:rsidRDefault="00012423" w:rsidP="00F47724">
      <w:pPr>
        <w:pStyle w:val="Titel"/>
        <w:numPr>
          <w:ilvl w:val="0"/>
          <w:numId w:val="7"/>
        </w:numPr>
        <w:spacing w:before="0" w:after="0"/>
        <w:jc w:val="left"/>
        <w:rPr>
          <w:b w:val="0"/>
          <w:sz w:val="22"/>
        </w:rPr>
      </w:pPr>
      <w:r>
        <w:rPr>
          <w:b w:val="0"/>
          <w:sz w:val="22"/>
        </w:rPr>
        <w:t xml:space="preserve">Protokoll 9. September 2015: „Organisatorische Entscheide 2016“ wird erwähnt, dass in den AGB die </w:t>
      </w:r>
      <w:r w:rsidRPr="00682E3A">
        <w:rPr>
          <w:b w:val="0"/>
          <w:sz w:val="22"/>
          <w:highlight w:val="yellow"/>
        </w:rPr>
        <w:t>Mindestteilnehmerzahl</w:t>
      </w:r>
      <w:r>
        <w:rPr>
          <w:b w:val="0"/>
          <w:sz w:val="22"/>
        </w:rPr>
        <w:t xml:space="preserve"> definiert werden muss. Zudem soll jeweils </w:t>
      </w:r>
      <w:r w:rsidRPr="00682E3A">
        <w:rPr>
          <w:b w:val="0"/>
          <w:sz w:val="22"/>
          <w:highlight w:val="yellow"/>
        </w:rPr>
        <w:t>ein Monat vor Kursbeginn entschiede</w:t>
      </w:r>
      <w:r w:rsidRPr="00026377">
        <w:rPr>
          <w:b w:val="0"/>
          <w:sz w:val="22"/>
        </w:rPr>
        <w:t xml:space="preserve">n werden, ob der </w:t>
      </w:r>
      <w:r w:rsidRPr="00682E3A">
        <w:rPr>
          <w:b w:val="0"/>
          <w:sz w:val="22"/>
          <w:highlight w:val="yellow"/>
        </w:rPr>
        <w:t>Kurs stattfindet oder nicht</w:t>
      </w:r>
      <w:r w:rsidRPr="00026377">
        <w:rPr>
          <w:b w:val="0"/>
          <w:sz w:val="22"/>
        </w:rPr>
        <w:t xml:space="preserve">. Ergänzend zum Protokoll soll auch dies in den </w:t>
      </w:r>
      <w:r w:rsidRPr="00682E3A">
        <w:rPr>
          <w:b w:val="0"/>
          <w:sz w:val="22"/>
          <w:highlight w:val="yellow"/>
        </w:rPr>
        <w:t>AGB definiert</w:t>
      </w:r>
      <w:r w:rsidRPr="00026377">
        <w:rPr>
          <w:b w:val="0"/>
          <w:sz w:val="22"/>
        </w:rPr>
        <w:t xml:space="preserve"> werden. „Der Vorstand definiert einen Grundsatz für Absage von Kursen“.</w:t>
      </w:r>
    </w:p>
    <w:p w14:paraId="7CA380C9" w14:textId="0A9B8070" w:rsidR="00012423" w:rsidRPr="00026377" w:rsidRDefault="00012423" w:rsidP="00F47724">
      <w:pPr>
        <w:pStyle w:val="Listenabsatz"/>
        <w:numPr>
          <w:ilvl w:val="0"/>
          <w:numId w:val="6"/>
        </w:numPr>
      </w:pPr>
      <w:r w:rsidRPr="00026377">
        <w:t xml:space="preserve">Der </w:t>
      </w:r>
      <w:r w:rsidRPr="00682E3A">
        <w:rPr>
          <w:highlight w:val="yellow"/>
        </w:rPr>
        <w:t>Tages</w:t>
      </w:r>
      <w:r w:rsidRPr="00026377">
        <w:t xml:space="preserve">- wie der </w:t>
      </w:r>
      <w:r w:rsidRPr="00682E3A">
        <w:rPr>
          <w:highlight w:val="yellow"/>
        </w:rPr>
        <w:t>Wochenendkurs</w:t>
      </w:r>
      <w:r w:rsidRPr="00026377">
        <w:t xml:space="preserve"> werden </w:t>
      </w:r>
      <w:r w:rsidRPr="00682E3A">
        <w:rPr>
          <w:highlight w:val="yellow"/>
        </w:rPr>
        <w:t>weiterhin zu CHF 100 pro Person</w:t>
      </w:r>
      <w:r w:rsidRPr="00026377">
        <w:t xml:space="preserve"> ausgeschrieben.</w:t>
      </w:r>
    </w:p>
    <w:p w14:paraId="5C23AC49" w14:textId="77777777" w:rsidR="00E371A7" w:rsidRDefault="00E371A7" w:rsidP="00012423">
      <w:pPr>
        <w:rPr>
          <w:b/>
        </w:rPr>
      </w:pPr>
    </w:p>
    <w:p w14:paraId="3F3E5A75" w14:textId="3A143C1E" w:rsidR="00012423" w:rsidRPr="00E371A7" w:rsidRDefault="00012423" w:rsidP="00E371A7">
      <w:pPr>
        <w:rPr>
          <w:b/>
          <w:sz w:val="24"/>
          <w:szCs w:val="24"/>
          <w:u w:val="single"/>
        </w:rPr>
      </w:pPr>
      <w:r w:rsidRPr="00E371A7">
        <w:rPr>
          <w:b/>
          <w:sz w:val="24"/>
          <w:szCs w:val="24"/>
          <w:u w:val="single"/>
        </w:rPr>
        <w:t>Protokoll 17. November 2015</w:t>
      </w:r>
    </w:p>
    <w:p w14:paraId="14C73A4C" w14:textId="77777777" w:rsidR="00012423" w:rsidRDefault="00012423" w:rsidP="00012423">
      <w:pPr>
        <w:rPr>
          <w:b/>
        </w:rPr>
      </w:pPr>
    </w:p>
    <w:p w14:paraId="06CC9278" w14:textId="350F24DD" w:rsidR="00012423" w:rsidRPr="00012423" w:rsidRDefault="00012423" w:rsidP="00F47724">
      <w:pPr>
        <w:pStyle w:val="Listenabsatz"/>
        <w:numPr>
          <w:ilvl w:val="0"/>
          <w:numId w:val="8"/>
        </w:numPr>
      </w:pPr>
      <w:r w:rsidRPr="00012423">
        <w:t>Da E</w:t>
      </w:r>
      <w:r w:rsidRPr="00682E3A">
        <w:rPr>
          <w:highlight w:val="yellow"/>
        </w:rPr>
        <w:t>inzelreferate</w:t>
      </w:r>
      <w:r w:rsidRPr="00012423">
        <w:t xml:space="preserve"> in der Regel keine </w:t>
      </w:r>
      <w:r w:rsidRPr="00682E3A">
        <w:rPr>
          <w:highlight w:val="yellow"/>
        </w:rPr>
        <w:t>unter 2 Std.</w:t>
      </w:r>
      <w:r w:rsidRPr="00012423">
        <w:t xml:space="preserve"> dauern, wird </w:t>
      </w:r>
      <w:r w:rsidRPr="00682E3A">
        <w:rPr>
          <w:highlight w:val="yellow"/>
        </w:rPr>
        <w:t>neu festgesetzt</w:t>
      </w:r>
      <w:r w:rsidRPr="00012423">
        <w:t>:</w:t>
      </w:r>
      <w:r w:rsidRPr="00012423">
        <w:br/>
        <w:t>Einzelreferate unter 2 Std.  -  Honorar CHF 500.</w:t>
      </w:r>
      <w:r w:rsidR="00A2326A">
        <w:t>00</w:t>
      </w:r>
      <w:r w:rsidRPr="00012423">
        <w:t xml:space="preserve">. Diese Regelung tritt erst </w:t>
      </w:r>
      <w:r w:rsidRPr="00682E3A">
        <w:rPr>
          <w:highlight w:val="yellow"/>
        </w:rPr>
        <w:t>per 1. Januar 2017</w:t>
      </w:r>
      <w:r w:rsidRPr="00012423">
        <w:t xml:space="preserve"> in Kraft.</w:t>
      </w:r>
    </w:p>
    <w:p w14:paraId="40309546" w14:textId="22DB82FC" w:rsidR="00E636B2" w:rsidRDefault="00E636B2" w:rsidP="005274B4">
      <w:pPr>
        <w:tabs>
          <w:tab w:val="left" w:pos="426"/>
        </w:tabs>
      </w:pPr>
    </w:p>
    <w:p w14:paraId="5A3CCE3E" w14:textId="77777777" w:rsidR="00E636B2" w:rsidRDefault="00E636B2" w:rsidP="00E636B2">
      <w:pPr>
        <w:tabs>
          <w:tab w:val="left" w:pos="426"/>
        </w:tabs>
        <w:ind w:left="420" w:hanging="420"/>
      </w:pPr>
    </w:p>
    <w:p w14:paraId="10A143EE" w14:textId="15B7BC22" w:rsidR="008362D4" w:rsidRDefault="008362D4" w:rsidP="008362D4">
      <w:pPr>
        <w:tabs>
          <w:tab w:val="left" w:pos="426"/>
        </w:tabs>
      </w:pPr>
    </w:p>
    <w:p w14:paraId="44B92072" w14:textId="0D1E82D2" w:rsidR="008362D4" w:rsidRDefault="008362D4" w:rsidP="008362D4">
      <w:pPr>
        <w:tabs>
          <w:tab w:val="left" w:pos="426"/>
        </w:tabs>
      </w:pPr>
    </w:p>
    <w:p w14:paraId="668D57C0" w14:textId="2EC9FC80" w:rsidR="008362D4" w:rsidRDefault="008362D4" w:rsidP="008362D4">
      <w:pPr>
        <w:tabs>
          <w:tab w:val="left" w:pos="426"/>
        </w:tabs>
      </w:pPr>
    </w:p>
    <w:p w14:paraId="72C7CE35" w14:textId="763EC282" w:rsidR="008362D4" w:rsidRDefault="008362D4" w:rsidP="008362D4">
      <w:pPr>
        <w:tabs>
          <w:tab w:val="left" w:pos="426"/>
        </w:tabs>
      </w:pPr>
    </w:p>
    <w:p w14:paraId="60B8EDC9" w14:textId="7D4AA90C" w:rsidR="008362D4" w:rsidRDefault="008362D4" w:rsidP="008362D4">
      <w:pPr>
        <w:tabs>
          <w:tab w:val="left" w:pos="426"/>
        </w:tabs>
      </w:pPr>
      <w:r>
        <w:t>Menziken, 5. Dezember 2017/</w:t>
      </w:r>
      <w:proofErr w:type="spellStart"/>
      <w:r>
        <w:t>RFu</w:t>
      </w:r>
      <w:proofErr w:type="spellEnd"/>
    </w:p>
    <w:p w14:paraId="440A45D8" w14:textId="546E363E" w:rsidR="008362D4" w:rsidRPr="008362D4" w:rsidRDefault="008362D4" w:rsidP="008362D4">
      <w:pPr>
        <w:tabs>
          <w:tab w:val="left" w:pos="426"/>
        </w:tabs>
        <w:ind w:left="420" w:hanging="420"/>
        <w:rPr>
          <w:b/>
        </w:rPr>
      </w:pPr>
    </w:p>
    <w:p w14:paraId="6AFD748F" w14:textId="67B88D44" w:rsidR="008362D4" w:rsidRPr="00402307" w:rsidRDefault="008362D4" w:rsidP="008362D4">
      <w:pPr>
        <w:pStyle w:val="Default"/>
        <w:tabs>
          <w:tab w:val="left" w:pos="426"/>
        </w:tabs>
        <w:rPr>
          <w:sz w:val="22"/>
          <w:szCs w:val="22"/>
        </w:rPr>
      </w:pPr>
    </w:p>
    <w:sectPr w:rsidR="008362D4" w:rsidRPr="00402307" w:rsidSect="00A2326A">
      <w:headerReference w:type="default" r:id="rId8"/>
      <w:footerReference w:type="default" r:id="rId9"/>
      <w:pgSz w:w="11900" w:h="16840"/>
      <w:pgMar w:top="1985" w:right="843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69F1B" w14:textId="77777777" w:rsidR="00793796" w:rsidRDefault="00793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3D2841F" w14:textId="77777777" w:rsidR="00793796" w:rsidRDefault="00793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0D7C" w14:textId="159EB085" w:rsidR="0099765B" w:rsidRPr="00C514C5" w:rsidRDefault="0099765B">
    <w:pPr>
      <w:pStyle w:val="Fuzeile"/>
      <w:rPr>
        <w:noProof/>
        <w:color w:val="7F7F7F" w:themeColor="text1" w:themeTint="80"/>
        <w:sz w:val="20"/>
        <w:lang w:eastAsia="de-CH"/>
      </w:rPr>
    </w:pPr>
    <w:r w:rsidRPr="00C514C5">
      <w:rPr>
        <w:noProof/>
        <w:color w:val="7F7F7F" w:themeColor="text1" w:themeTint="80"/>
        <w:sz w:val="20"/>
        <w:lang w:eastAsia="de-CH"/>
      </w:rPr>
      <w:t xml:space="preserve">Katholisches Eheseminar Zürich, c/o Ruth Furrer, </w:t>
    </w:r>
    <w:r w:rsidR="00402307">
      <w:rPr>
        <w:noProof/>
        <w:color w:val="7F7F7F" w:themeColor="text1" w:themeTint="80"/>
        <w:sz w:val="20"/>
        <w:lang w:eastAsia="de-CH"/>
      </w:rPr>
      <w:t>Wiesenweg 7, 5737 Menziken</w:t>
    </w:r>
    <w:r w:rsidRPr="00C514C5">
      <w:rPr>
        <w:noProof/>
        <w:color w:val="7F7F7F" w:themeColor="text1" w:themeTint="80"/>
        <w:sz w:val="20"/>
        <w:lang w:eastAsia="de-CH"/>
      </w:rPr>
      <w:t xml:space="preserve"> – furrer@eheseminar-zh.ch</w:t>
    </w:r>
  </w:p>
  <w:p w14:paraId="0D6F28DD" w14:textId="77777777" w:rsidR="0099765B" w:rsidRPr="00C514C5" w:rsidRDefault="0099765B">
    <w:pPr>
      <w:pStyle w:val="Fuzeile"/>
      <w:rPr>
        <w:rFonts w:ascii="Times New Roman" w:hAnsi="Times New Roman" w:cs="Times New Roman"/>
        <w:color w:val="7F7F7F" w:themeColor="text1" w:themeTint="80"/>
        <w:sz w:val="20"/>
      </w:rPr>
    </w:pPr>
    <w:r w:rsidRPr="00C514C5">
      <w:rPr>
        <w:noProof/>
        <w:color w:val="7F7F7F" w:themeColor="text1" w:themeTint="80"/>
        <w:sz w:val="20"/>
        <w:lang w:eastAsia="de-CH"/>
      </w:rPr>
      <w:t>www.eheseminar-zh.ch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970B" w14:textId="77777777" w:rsidR="00793796" w:rsidRDefault="00793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8860B88" w14:textId="77777777" w:rsidR="00793796" w:rsidRDefault="00793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4EF" w14:textId="77777777" w:rsidR="0099765B" w:rsidRDefault="0099765B">
    <w:pPr>
      <w:pStyle w:val="Kopfzeile"/>
      <w:rPr>
        <w:rFonts w:ascii="Times New Roman" w:hAnsi="Times New Roman" w:cs="Times New Roman"/>
      </w:rPr>
    </w:pPr>
    <w:r>
      <w:rPr>
        <w:noProof/>
        <w:lang w:eastAsia="de-CH"/>
      </w:rPr>
      <w:drawing>
        <wp:anchor distT="0" distB="0" distL="114300" distR="114300" simplePos="0" relativeHeight="251658752" behindDoc="1" locked="0" layoutInCell="1" allowOverlap="1" wp14:anchorId="6AEAF6C3" wp14:editId="5309935F">
          <wp:simplePos x="0" y="0"/>
          <wp:positionH relativeFrom="column">
            <wp:posOffset>3300730</wp:posOffset>
          </wp:positionH>
          <wp:positionV relativeFrom="paragraph">
            <wp:posOffset>-83185</wp:posOffset>
          </wp:positionV>
          <wp:extent cx="2694305" cy="433070"/>
          <wp:effectExtent l="0" t="0" r="0" b="508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013B"/>
    <w:multiLevelType w:val="hybridMultilevel"/>
    <w:tmpl w:val="97CCFEC6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6168"/>
    <w:multiLevelType w:val="hybridMultilevel"/>
    <w:tmpl w:val="C2DAB204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9F2"/>
    <w:multiLevelType w:val="hybridMultilevel"/>
    <w:tmpl w:val="F702D152"/>
    <w:lvl w:ilvl="0" w:tplc="0B4A8904"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2470D"/>
    <w:multiLevelType w:val="hybridMultilevel"/>
    <w:tmpl w:val="F3C21E98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6591"/>
    <w:multiLevelType w:val="hybridMultilevel"/>
    <w:tmpl w:val="5546E872"/>
    <w:lvl w:ilvl="0" w:tplc="0B4A8904"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500DF"/>
    <w:multiLevelType w:val="hybridMultilevel"/>
    <w:tmpl w:val="5E207DE2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5262"/>
    <w:multiLevelType w:val="hybridMultilevel"/>
    <w:tmpl w:val="5D76CADA"/>
    <w:lvl w:ilvl="0" w:tplc="FE4EBF42">
      <w:start w:val="2"/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21C4C"/>
    <w:multiLevelType w:val="hybridMultilevel"/>
    <w:tmpl w:val="8C2CEA68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041B"/>
    <w:multiLevelType w:val="hybridMultilevel"/>
    <w:tmpl w:val="6BA86E06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001B"/>
    <w:multiLevelType w:val="hybridMultilevel"/>
    <w:tmpl w:val="58682852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2DDF"/>
    <w:multiLevelType w:val="hybridMultilevel"/>
    <w:tmpl w:val="B5C25808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A3A95"/>
    <w:multiLevelType w:val="hybridMultilevel"/>
    <w:tmpl w:val="66A67196"/>
    <w:lvl w:ilvl="0" w:tplc="0B4A8904"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06245"/>
    <w:multiLevelType w:val="hybridMultilevel"/>
    <w:tmpl w:val="8408C3EC"/>
    <w:lvl w:ilvl="0" w:tplc="FE4EBF42">
      <w:start w:val="2"/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375D4C"/>
    <w:multiLevelType w:val="hybridMultilevel"/>
    <w:tmpl w:val="DA14DF88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E52A1"/>
    <w:multiLevelType w:val="hybridMultilevel"/>
    <w:tmpl w:val="7182F104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8113F"/>
    <w:multiLevelType w:val="hybridMultilevel"/>
    <w:tmpl w:val="8C1A3E6C"/>
    <w:lvl w:ilvl="0" w:tplc="0B4A8904"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784D14"/>
    <w:multiLevelType w:val="hybridMultilevel"/>
    <w:tmpl w:val="9B90611E"/>
    <w:lvl w:ilvl="0" w:tplc="FE4EBF42">
      <w:start w:val="2"/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DA3554"/>
    <w:multiLevelType w:val="hybridMultilevel"/>
    <w:tmpl w:val="1E76DBD4"/>
    <w:lvl w:ilvl="0" w:tplc="2728798E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0E87611"/>
    <w:multiLevelType w:val="hybridMultilevel"/>
    <w:tmpl w:val="72FA461C"/>
    <w:lvl w:ilvl="0" w:tplc="0B4A8904"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331CF8"/>
    <w:multiLevelType w:val="hybridMultilevel"/>
    <w:tmpl w:val="766EFF48"/>
    <w:lvl w:ilvl="0" w:tplc="0B4A8904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6F01"/>
    <w:multiLevelType w:val="hybridMultilevel"/>
    <w:tmpl w:val="76DC4B2C"/>
    <w:lvl w:ilvl="0" w:tplc="0B4A8904">
      <w:numFmt w:val="bullet"/>
      <w:lvlText w:val="-"/>
      <w:lvlJc w:val="left"/>
      <w:pPr>
        <w:ind w:left="360" w:hanging="360"/>
      </w:pPr>
      <w:rPr>
        <w:rFonts w:ascii="Calibri" w:eastAsia="MS ??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054810"/>
    <w:multiLevelType w:val="hybridMultilevel"/>
    <w:tmpl w:val="C34CD0DA"/>
    <w:lvl w:ilvl="0" w:tplc="1A3A66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"/>
  </w:num>
  <w:num w:numId="5">
    <w:abstractNumId w:val="15"/>
  </w:num>
  <w:num w:numId="6">
    <w:abstractNumId w:val="20"/>
  </w:num>
  <w:num w:numId="7">
    <w:abstractNumId w:val="18"/>
  </w:num>
  <w:num w:numId="8">
    <w:abstractNumId w:val="4"/>
  </w:num>
  <w:num w:numId="9">
    <w:abstractNumId w:val="21"/>
  </w:num>
  <w:num w:numId="10">
    <w:abstractNumId w:val="16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  <w:num w:numId="19">
    <w:abstractNumId w:val="0"/>
  </w:num>
  <w:num w:numId="20">
    <w:abstractNumId w:val="19"/>
  </w:num>
  <w:num w:numId="21">
    <w:abstractNumId w:val="1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15"/>
    <w:rsid w:val="00002345"/>
    <w:rsid w:val="000024C3"/>
    <w:rsid w:val="00012423"/>
    <w:rsid w:val="00026377"/>
    <w:rsid w:val="00036DE3"/>
    <w:rsid w:val="000C48D5"/>
    <w:rsid w:val="000D7598"/>
    <w:rsid w:val="001D3D28"/>
    <w:rsid w:val="001F48A4"/>
    <w:rsid w:val="00205799"/>
    <w:rsid w:val="0028550B"/>
    <w:rsid w:val="00297D19"/>
    <w:rsid w:val="002F6FCF"/>
    <w:rsid w:val="00307610"/>
    <w:rsid w:val="003252BF"/>
    <w:rsid w:val="003318E2"/>
    <w:rsid w:val="003501E1"/>
    <w:rsid w:val="0039257B"/>
    <w:rsid w:val="003A1450"/>
    <w:rsid w:val="003B0B4C"/>
    <w:rsid w:val="003D3241"/>
    <w:rsid w:val="003F261A"/>
    <w:rsid w:val="00402307"/>
    <w:rsid w:val="00455DE2"/>
    <w:rsid w:val="00456B44"/>
    <w:rsid w:val="00471A44"/>
    <w:rsid w:val="00474F8D"/>
    <w:rsid w:val="00495D60"/>
    <w:rsid w:val="004B069D"/>
    <w:rsid w:val="004D39B2"/>
    <w:rsid w:val="004E0733"/>
    <w:rsid w:val="005026AB"/>
    <w:rsid w:val="005259FF"/>
    <w:rsid w:val="005274B4"/>
    <w:rsid w:val="0053182C"/>
    <w:rsid w:val="00533256"/>
    <w:rsid w:val="00540F6F"/>
    <w:rsid w:val="005526AC"/>
    <w:rsid w:val="00573B15"/>
    <w:rsid w:val="005A36C0"/>
    <w:rsid w:val="005A6864"/>
    <w:rsid w:val="00624CC3"/>
    <w:rsid w:val="006267C0"/>
    <w:rsid w:val="00643197"/>
    <w:rsid w:val="0066569E"/>
    <w:rsid w:val="00673E15"/>
    <w:rsid w:val="00682E3A"/>
    <w:rsid w:val="00690D4F"/>
    <w:rsid w:val="006976AF"/>
    <w:rsid w:val="006A2D5E"/>
    <w:rsid w:val="00701ADF"/>
    <w:rsid w:val="00706338"/>
    <w:rsid w:val="00722AF3"/>
    <w:rsid w:val="00726E7C"/>
    <w:rsid w:val="00764C81"/>
    <w:rsid w:val="00764F9D"/>
    <w:rsid w:val="00787D5D"/>
    <w:rsid w:val="00793796"/>
    <w:rsid w:val="00794F03"/>
    <w:rsid w:val="008362D4"/>
    <w:rsid w:val="00842224"/>
    <w:rsid w:val="008562D1"/>
    <w:rsid w:val="00857582"/>
    <w:rsid w:val="00864CE4"/>
    <w:rsid w:val="008774C4"/>
    <w:rsid w:val="008A7347"/>
    <w:rsid w:val="008C6ADE"/>
    <w:rsid w:val="0091138D"/>
    <w:rsid w:val="00966D4B"/>
    <w:rsid w:val="00972A53"/>
    <w:rsid w:val="009746FE"/>
    <w:rsid w:val="0099765B"/>
    <w:rsid w:val="009A0272"/>
    <w:rsid w:val="009C47FC"/>
    <w:rsid w:val="009C62B5"/>
    <w:rsid w:val="009C6E50"/>
    <w:rsid w:val="009E4B66"/>
    <w:rsid w:val="00A2326A"/>
    <w:rsid w:val="00A649D7"/>
    <w:rsid w:val="00A73770"/>
    <w:rsid w:val="00A73EF8"/>
    <w:rsid w:val="00AC6B0D"/>
    <w:rsid w:val="00AD2B6E"/>
    <w:rsid w:val="00AF5F54"/>
    <w:rsid w:val="00B0527A"/>
    <w:rsid w:val="00B857FF"/>
    <w:rsid w:val="00C42E09"/>
    <w:rsid w:val="00C514C5"/>
    <w:rsid w:val="00C5579B"/>
    <w:rsid w:val="00C63123"/>
    <w:rsid w:val="00C91678"/>
    <w:rsid w:val="00CE3698"/>
    <w:rsid w:val="00D011CD"/>
    <w:rsid w:val="00D65C9E"/>
    <w:rsid w:val="00D81C36"/>
    <w:rsid w:val="00DD4517"/>
    <w:rsid w:val="00E01C15"/>
    <w:rsid w:val="00E371A7"/>
    <w:rsid w:val="00E37DDE"/>
    <w:rsid w:val="00E636B2"/>
    <w:rsid w:val="00E763F9"/>
    <w:rsid w:val="00E9209E"/>
    <w:rsid w:val="00E931D3"/>
    <w:rsid w:val="00ED7367"/>
    <w:rsid w:val="00EF108D"/>
    <w:rsid w:val="00F33EFF"/>
    <w:rsid w:val="00F34B97"/>
    <w:rsid w:val="00F46727"/>
    <w:rsid w:val="00F47724"/>
    <w:rsid w:val="00F60619"/>
    <w:rsid w:val="00F71896"/>
    <w:rsid w:val="00F868BA"/>
    <w:rsid w:val="00F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06040A9"/>
  <w15:docId w15:val="{4F20C490-A11A-4B73-86BB-97172DFB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MS ??" w:hAnsi="Calibri" w:cs="Calibri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numPr>
        <w:numId w:val="1"/>
      </w:numPr>
      <w:spacing w:before="360" w:after="120"/>
      <w:outlineLvl w:val="0"/>
    </w:pPr>
    <w:rPr>
      <w:rFonts w:eastAsia="MS ????"/>
      <w:b/>
      <w:bCs/>
      <w:color w:val="00000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libri" w:eastAsia="MS ????" w:hAnsi="Calibri" w:cs="Calibri"/>
      <w:b/>
      <w:bCs/>
      <w:color w:val="000000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de-DE"/>
    </w:rPr>
  </w:style>
  <w:style w:type="paragraph" w:customStyle="1" w:styleId="Formatvorlage1">
    <w:name w:val="Formatvorlage1"/>
    <w:basedOn w:val="Titel"/>
    <w:uiPriority w:val="99"/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rPr>
      <w:rFonts w:ascii="Cambria" w:hAnsi="Cambria" w:cs="Cambria"/>
      <w:b/>
      <w:bCs/>
      <w:kern w:val="28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MS ??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MS ??" w:hAnsi="Calibri" w:cs="Calibri"/>
      <w:lang w:eastAsia="de-DE"/>
    </w:rPr>
  </w:style>
  <w:style w:type="character" w:styleId="Hyperlink">
    <w:name w:val="Hyperlink"/>
    <w:basedOn w:val="Absatz-Standardschriftart"/>
    <w:uiPriority w:val="99"/>
    <w:rPr>
      <w:rFonts w:ascii="Times New Roman" w:hAnsi="Times New Roman" w:cs="Times New Roman"/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99"/>
  </w:style>
  <w:style w:type="paragraph" w:styleId="Verzeichnis2">
    <w:name w:val="toc 2"/>
    <w:basedOn w:val="Standard"/>
    <w:next w:val="Standard"/>
    <w:autoRedefine/>
    <w:uiPriority w:val="99"/>
    <w:pPr>
      <w:ind w:left="220"/>
    </w:pPr>
  </w:style>
  <w:style w:type="paragraph" w:styleId="Verzeichnis3">
    <w:name w:val="toc 3"/>
    <w:basedOn w:val="Standard"/>
    <w:next w:val="Standard"/>
    <w:autoRedefine/>
    <w:uiPriority w:val="99"/>
    <w:pPr>
      <w:ind w:left="440"/>
    </w:pPr>
  </w:style>
  <w:style w:type="paragraph" w:styleId="Verzeichnis4">
    <w:name w:val="toc 4"/>
    <w:basedOn w:val="Standard"/>
    <w:next w:val="Standard"/>
    <w:autoRedefine/>
    <w:uiPriority w:val="99"/>
    <w:pPr>
      <w:ind w:left="660"/>
    </w:pPr>
  </w:style>
  <w:style w:type="paragraph" w:styleId="Verzeichnis5">
    <w:name w:val="toc 5"/>
    <w:basedOn w:val="Standard"/>
    <w:next w:val="Standard"/>
    <w:autoRedefine/>
    <w:uiPriority w:val="99"/>
    <w:pPr>
      <w:ind w:left="880"/>
    </w:pPr>
  </w:style>
  <w:style w:type="paragraph" w:styleId="Verzeichnis6">
    <w:name w:val="toc 6"/>
    <w:basedOn w:val="Standard"/>
    <w:next w:val="Standard"/>
    <w:autoRedefine/>
    <w:uiPriority w:val="99"/>
    <w:pPr>
      <w:ind w:left="1100"/>
    </w:pPr>
  </w:style>
  <w:style w:type="paragraph" w:styleId="Verzeichnis7">
    <w:name w:val="toc 7"/>
    <w:basedOn w:val="Standard"/>
    <w:next w:val="Standard"/>
    <w:autoRedefine/>
    <w:uiPriority w:val="99"/>
    <w:pPr>
      <w:ind w:left="1320"/>
    </w:pPr>
  </w:style>
  <w:style w:type="paragraph" w:styleId="Verzeichnis8">
    <w:name w:val="toc 8"/>
    <w:basedOn w:val="Standard"/>
    <w:next w:val="Standard"/>
    <w:autoRedefine/>
    <w:uiPriority w:val="99"/>
    <w:pPr>
      <w:ind w:left="1540"/>
    </w:pPr>
  </w:style>
  <w:style w:type="paragraph" w:styleId="Verzeichnis9">
    <w:name w:val="toc 9"/>
    <w:basedOn w:val="Standard"/>
    <w:next w:val="Standard"/>
    <w:autoRedefine/>
    <w:uiPriority w:val="99"/>
    <w:pPr>
      <w:ind w:left="1760"/>
    </w:pPr>
  </w:style>
  <w:style w:type="paragraph" w:styleId="Textkrper2">
    <w:name w:val="Body Text 2"/>
    <w:basedOn w:val="Standard"/>
    <w:link w:val="Textkrper2Zchn"/>
    <w:uiPriority w:val="99"/>
    <w:pPr>
      <w:ind w:left="1418" w:hanging="1418"/>
    </w:p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Calibri" w:eastAsia="MS ??" w:hAnsi="Calibri" w:cs="Calibri"/>
      <w:lang w:eastAsia="de-DE"/>
    </w:rPr>
  </w:style>
  <w:style w:type="paragraph" w:styleId="Listenabsatz">
    <w:name w:val="List Paragraph"/>
    <w:basedOn w:val="Standard"/>
    <w:uiPriority w:val="34"/>
    <w:qFormat/>
    <w:rsid w:val="009A027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46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6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6FE"/>
    <w:rPr>
      <w:rFonts w:ascii="Calibri" w:eastAsia="MS ??" w:hAnsi="Calibri" w:cs="Calibri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6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6FE"/>
    <w:rPr>
      <w:rFonts w:ascii="Calibri" w:eastAsia="MS ??" w:hAnsi="Calibri" w:cs="Calibri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6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6FE"/>
    <w:rPr>
      <w:rFonts w:ascii="Segoe UI" w:eastAsia="MS ??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C514C5"/>
    <w:rPr>
      <w:rFonts w:ascii="Calibri" w:eastAsia="MS ??" w:hAnsi="Calibri" w:cs="Calibri"/>
      <w:lang w:eastAsia="de-DE"/>
    </w:rPr>
  </w:style>
  <w:style w:type="paragraph" w:customStyle="1" w:styleId="Default">
    <w:name w:val="Default"/>
    <w:rsid w:val="00325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6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8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2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02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3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98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43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057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13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25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15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779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822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128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82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495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771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454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3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9148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7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0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2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95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66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83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976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562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03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534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245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924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862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893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527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75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541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939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5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8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8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53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11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44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14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39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8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84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03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88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88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068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280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654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146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153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6514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3350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171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083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D650-C159-4FE0-984F-3E0FD33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Jahresbericht 2013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2013</dc:title>
  <dc:creator>Urs Huber</dc:creator>
  <cp:lastModifiedBy>Ruth Furrer</cp:lastModifiedBy>
  <cp:revision>4</cp:revision>
  <cp:lastPrinted>2017-11-05T12:40:00Z</cp:lastPrinted>
  <dcterms:created xsi:type="dcterms:W3CDTF">2018-03-17T14:56:00Z</dcterms:created>
  <dcterms:modified xsi:type="dcterms:W3CDTF">2018-03-17T15:04:00Z</dcterms:modified>
</cp:coreProperties>
</file>